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jc w:val="center"/>
        <w:textAlignment w:val="auto"/>
        <w:outlineLvl w:val="0"/>
        <w:rPr>
          <w:rFonts w:hint="eastAsia" w:eastAsia="黑体"/>
          <w:sz w:val="24"/>
          <w:szCs w:val="24"/>
          <w:lang w:val="en-US" w:eastAsia="zh-CN"/>
        </w:rPr>
      </w:pPr>
      <w:r>
        <w:rPr>
          <w:rStyle w:val="5"/>
          <w:rFonts w:hint="eastAsia" w:eastAsia="华文中宋"/>
          <w:color w:val="000000"/>
          <w:sz w:val="36"/>
          <w:szCs w:val="36"/>
          <w:lang w:eastAsia="zh-CN"/>
        </w:rPr>
        <w:t>数据服务内容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line="520" w:lineRule="exact"/>
        <w:ind w:firstLine="480" w:firstLineChars="200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1.司法拍卖数据。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获取不良资产（房产、土地、厂房、债权、车辆、设备等）在法拍平台的处置信息和成交信息。处置信息包括拍卖状态、拍卖阶段、报名人数、出价次数等，成交信息包括起拍价、市场价、成交价等。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2.非住宅类二手资产成交数据。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通过采购非住宅类二手资产（房产、土地、厂房、债权、车辆、设备等）成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交数据，获取类似资产市场成交价格，为资产估值提供数据依据。主要包括：二手资产地址（型号）等身份信息、历史成交信息等。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3.估值模型、估值地图等价值评估工具及服务。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通过采购外部价值评估工具及服务，对存在一定估值难度（如无公开、有效的成交数据的资产）的特殊资产进行评估，如：非抵质押个人类债权、非抵质押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对公类债权等。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获取外部估值的同时，运用不同的算法模型获取更为合理的资产评估价值，需提供估值报告等增值服务。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5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2024-07-31T01:29:31Z</dcterms:created>
  <dc:creator>紫苏</dc:creator>
  <cp:lastModifiedBy>紫苏</cp:lastModifiedBy>
  <dcterms:modified xsi:type="dcterms:W3CDTF">2024-07-31T01:30:25Z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9DFFE4EB4A424A80B92B5B3FDF5CA4D3</vt:lpwstr>
  </property>
</Properties>
</file>